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210CF">
        <w:rPr>
          <w:b/>
          <w:noProof/>
          <w:sz w:val="24"/>
        </w:rPr>
        <w:fldChar w:fldCharType="begin"/>
      </w:r>
      <w:r w:rsidR="009210CF">
        <w:rPr>
          <w:b/>
          <w:noProof/>
          <w:sz w:val="24"/>
        </w:rPr>
        <w:instrText xml:space="preserve"> DOCPROPERTY  TSG/WGRef  \* MERGEFORMAT </w:instrText>
      </w:r>
      <w:r w:rsidR="009210C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9210C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E96D0F" w:rsidRPr="00E96D0F">
        <w:rPr>
          <w:b/>
          <w:i/>
          <w:noProof/>
          <w:sz w:val="28"/>
        </w:rPr>
        <w:t>R4-190</w:t>
      </w:r>
      <w:r w:rsidR="008B6CDB">
        <w:rPr>
          <w:b/>
          <w:i/>
          <w:noProof/>
          <w:sz w:val="28"/>
        </w:rPr>
        <w:t>2141</w:t>
      </w:r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96D0F" w:rsidRDefault="00E96D0F" w:rsidP="00547111">
            <w:pPr>
              <w:pStyle w:val="CRCoverPage"/>
              <w:spacing w:after="0"/>
              <w:rPr>
                <w:b/>
                <w:noProof/>
              </w:rPr>
            </w:pPr>
            <w:r w:rsidRPr="00E96D0F">
              <w:rPr>
                <w:b/>
                <w:noProof/>
                <w:sz w:val="28"/>
              </w:rPr>
              <w:t>5400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6C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3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 w:rsidRPr="00456CBD">
              <w:rPr>
                <w:noProof/>
              </w:rPr>
              <w:t xml:space="preserve">CR TS 36.101 </w:t>
            </w:r>
            <w:r w:rsidR="002449A7">
              <w:rPr>
                <w:noProof/>
              </w:rPr>
              <w:t>Introduction of a PC3 UTRA ACLR exemption list for CA</w:t>
            </w:r>
            <w:r w:rsidR="00694ED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4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E4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210C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78F9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many frequency bands in which UTRA is not in operation. To save test time, PC3 UEs operating in these bands can be exempted from UTRA ACLR co-existence requirements.</w:t>
            </w:r>
            <w:r w:rsidR="006D3BD7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78F9" w:rsidRDefault="00F378F9" w:rsidP="00F37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Section 6.6.2.3.2A, add the following sentence:</w:t>
            </w:r>
          </w:p>
          <w:p w:rsidR="00F378F9" w:rsidRDefault="00F378F9" w:rsidP="00F37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5856DE" w:rsidP="005856DE">
            <w:pPr>
              <w:pStyle w:val="CRCoverPage"/>
              <w:spacing w:after="0"/>
              <w:ind w:left="100"/>
              <w:rPr>
                <w:noProof/>
              </w:rPr>
            </w:pPr>
            <w:r w:rsidRPr="005856DE">
              <w:rPr>
                <w:noProof/>
                <w:lang w:eastAsia="zh-CN"/>
              </w:rPr>
              <w:t>For carrier aggregation with one or two uplink component carriers, the UTRA</w:t>
            </w:r>
            <w:r w:rsidRPr="005856DE">
              <w:rPr>
                <w:noProof/>
                <w:vertAlign w:val="subscript"/>
                <w:lang w:eastAsia="zh-CN"/>
              </w:rPr>
              <w:t>ACLR</w:t>
            </w:r>
            <w:r w:rsidRPr="005856DE">
              <w:rPr>
                <w:noProof/>
                <w:lang w:eastAsia="zh-CN"/>
              </w:rPr>
              <w:t xml:space="preserve"> requirements for the PC3 UE are not applicable to the uplink component carrier(s) assigned to one of the E-UTRA band in Band 7, 12, 13, 17, 20, 24, 27, 30, 33, 35, 36, 37, 38, 40, 43, 44, 45, 46, 47, 48, 4</w:t>
            </w:r>
            <w:r>
              <w:rPr>
                <w:noProof/>
                <w:lang w:eastAsia="zh-CN"/>
              </w:rPr>
              <w:t>9, 50, 51, 52, 68, 70, 71 or 85</w:t>
            </w:r>
            <w:r w:rsidRPr="005856D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7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time is sub-optimal as many bands do not need to be tested against UTRA ACLR coexistence requirements.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Pr="00124F36" w:rsidRDefault="00F378F9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2F7E">
              <w:t>6.6.2.3.2A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E96D0F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36.521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3BD7" w:rsidRDefault="006D3BD7" w:rsidP="006D3BD7">
            <w:pPr>
              <w:pStyle w:val="CRCoverPage"/>
              <w:spacing w:after="0"/>
              <w:rPr>
                <w:noProof/>
              </w:rPr>
            </w:pPr>
          </w:p>
        </w:tc>
      </w:tr>
      <w:tr w:rsidR="006D3BD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3BD7" w:rsidRDefault="006D3BD7" w:rsidP="006D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3BD7" w:rsidRDefault="006D3BD7" w:rsidP="006D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694EDB" w:rsidRPr="004C2F7E" w:rsidRDefault="00694EDB" w:rsidP="00694EDB">
      <w:pPr>
        <w:pStyle w:val="Heading5"/>
      </w:pPr>
      <w:bookmarkStart w:id="3" w:name="_Toc368026315"/>
      <w:r w:rsidRPr="004C2F7E">
        <w:t>6.6.2.3.2A</w:t>
      </w:r>
      <w:r w:rsidRPr="004C2F7E">
        <w:tab/>
        <w:t>Minimum requirement UTRA for CA</w:t>
      </w:r>
      <w:bookmarkEnd w:id="3"/>
    </w:p>
    <w:p w:rsidR="00694EDB" w:rsidRPr="004C2F7E" w:rsidRDefault="00694EDB" w:rsidP="00694EDB">
      <w:r w:rsidRPr="004C2F7E">
        <w:rPr>
          <w:rFonts w:hint="eastAsia"/>
          <w:lang w:eastAsia="zh-CN"/>
        </w:rPr>
        <w:t>F</w:t>
      </w:r>
      <w:r w:rsidRPr="004C2F7E">
        <w:t>or inter-band carrier aggregation with one component carrier per operating band and the uplink active in two E-UTRA bands</w:t>
      </w:r>
      <w:r w:rsidRPr="004C2F7E">
        <w:rPr>
          <w:rFonts w:hint="eastAsia"/>
        </w:rPr>
        <w:t xml:space="preserve">, the UTRA </w:t>
      </w:r>
      <w:r w:rsidRPr="004C2F7E">
        <w:t xml:space="preserve">Adjacent Channel Leakage </w:t>
      </w:r>
      <w:proofErr w:type="gramStart"/>
      <w:r w:rsidRPr="004C2F7E">
        <w:t>power</w:t>
      </w:r>
      <w:proofErr w:type="gramEnd"/>
      <w:r w:rsidRPr="004C2F7E">
        <w:t xml:space="preserve"> Ratio (UTRA</w:t>
      </w:r>
      <w:r w:rsidRPr="004C2F7E">
        <w:rPr>
          <w:vertAlign w:val="subscript"/>
        </w:rPr>
        <w:t>ACLR</w:t>
      </w:r>
      <w:r w:rsidRPr="004C2F7E">
        <w:t xml:space="preserve">) is </w:t>
      </w:r>
      <w:r w:rsidRPr="004C2F7E">
        <w:rPr>
          <w:rFonts w:hint="eastAsia"/>
        </w:rPr>
        <w:t xml:space="preserve">the </w:t>
      </w:r>
      <w:r w:rsidRPr="004C2F7E">
        <w:t xml:space="preserve">ratio of the filtered mean power centred on the </w:t>
      </w:r>
      <w:r w:rsidRPr="004C2F7E">
        <w:rPr>
          <w:rFonts w:hint="eastAsia"/>
        </w:rPr>
        <w:t xml:space="preserve">assigned </w:t>
      </w:r>
      <w:r w:rsidRPr="004C2F7E">
        <w:t>channel bandwidth on the component carrier to the filtered mean power centred on an adjacent channel frequency</w:t>
      </w:r>
      <w:r w:rsidRPr="004C2F7E">
        <w:rPr>
          <w:rFonts w:hint="eastAsia"/>
        </w:rPr>
        <w:t xml:space="preserve">. </w:t>
      </w:r>
      <w:r w:rsidRPr="004C2F7E">
        <w:t>T</w:t>
      </w:r>
      <w:r w:rsidRPr="004C2F7E">
        <w:rPr>
          <w:rFonts w:hint="eastAsia"/>
        </w:rPr>
        <w:t xml:space="preserve">he UTRA </w:t>
      </w:r>
      <w:r w:rsidRPr="004C2F7E">
        <w:t xml:space="preserve">Adjacent Channel Leakage </w:t>
      </w:r>
      <w:proofErr w:type="gramStart"/>
      <w:r w:rsidRPr="004C2F7E">
        <w:t>power</w:t>
      </w:r>
      <w:proofErr w:type="gramEnd"/>
      <w:r w:rsidRPr="004C2F7E">
        <w:t xml:space="preserve"> Ratio</w:t>
      </w:r>
      <w:r w:rsidRPr="004C2F7E">
        <w:rPr>
          <w:rFonts w:hint="eastAsia"/>
        </w:rPr>
        <w:t xml:space="preserve"> is defined</w:t>
      </w:r>
      <w:r w:rsidRPr="004C2F7E">
        <w:t xml:space="preserve"> per carrier and the requirement is specified in </w:t>
      </w:r>
      <w:proofErr w:type="spellStart"/>
      <w:r w:rsidRPr="004C2F7E">
        <w:t>subclause</w:t>
      </w:r>
      <w:proofErr w:type="spellEnd"/>
      <w:r w:rsidRPr="004C2F7E">
        <w:t xml:space="preserve"> 6.</w:t>
      </w:r>
      <w:r w:rsidRPr="004C2F7E">
        <w:rPr>
          <w:rFonts w:hint="eastAsia"/>
        </w:rPr>
        <w:t>6</w:t>
      </w:r>
      <w:r w:rsidRPr="004C2F7E">
        <w:t>.2.</w:t>
      </w:r>
      <w:r w:rsidRPr="004C2F7E">
        <w:rPr>
          <w:rFonts w:hint="eastAsia"/>
        </w:rPr>
        <w:t>3.2</w:t>
      </w:r>
      <w:r w:rsidRPr="004C2F7E">
        <w:t>.</w:t>
      </w:r>
    </w:p>
    <w:p w:rsidR="00694EDB" w:rsidRPr="004C2F7E" w:rsidRDefault="00694EDB" w:rsidP="00694EDB">
      <w:r w:rsidRPr="004C2F7E">
        <w:t xml:space="preserve">For intra-band contiguous carrier </w:t>
      </w:r>
      <w:proofErr w:type="gramStart"/>
      <w:r w:rsidRPr="004C2F7E">
        <w:t>aggregation</w:t>
      </w:r>
      <w:proofErr w:type="gramEnd"/>
      <w:r w:rsidRPr="004C2F7E">
        <w:t xml:space="preserve"> the UTRA Adjacent Channel Leakage power Ratio (UTRA</w:t>
      </w:r>
      <w:r w:rsidRPr="004C2F7E">
        <w:rPr>
          <w:vertAlign w:val="subscript"/>
        </w:rPr>
        <w:t>ACLR</w:t>
      </w:r>
      <w:r w:rsidRPr="004C2F7E">
        <w:t>) is the ratio of the filtered mean power centred on the aggregated channel bandwidth to the filtered mean power centred on an adjacent(s) UTRA channel frequency.</w:t>
      </w:r>
    </w:p>
    <w:p w:rsidR="00694EDB" w:rsidRPr="004C2F7E" w:rsidRDefault="00694EDB" w:rsidP="00694EDB">
      <w:r w:rsidRPr="004C2F7E">
        <w:t xml:space="preserve">For intra-band non-contiguous carrier aggregation when all sub-blocks consist of one component carrier the UTRA Adjacent Channel Leakage </w:t>
      </w:r>
      <w:proofErr w:type="gramStart"/>
      <w:r w:rsidRPr="004C2F7E">
        <w:t>power</w:t>
      </w:r>
      <w:proofErr w:type="gramEnd"/>
      <w:r w:rsidRPr="004C2F7E">
        <w:t xml:space="preserve"> Ratio (UTRA</w:t>
      </w:r>
      <w:r w:rsidRPr="004C2F7E">
        <w:rPr>
          <w:vertAlign w:val="subscript"/>
        </w:rPr>
        <w:t>ACLR</w:t>
      </w:r>
      <w:r w:rsidRPr="004C2F7E">
        <w:t xml:space="preserve">) is the ratio of the sum of the filtered mean powers </w:t>
      </w:r>
      <w:proofErr w:type="spellStart"/>
      <w:r w:rsidRPr="004C2F7E">
        <w:t>centered</w:t>
      </w:r>
      <w:proofErr w:type="spellEnd"/>
      <w:r w:rsidRPr="004C2F7E">
        <w:t xml:space="preserve"> on the assigned sub-block frequencies to the filtered mean power centred on an adjacent(s) UTRA channel frequency. UTRA</w:t>
      </w:r>
      <w:r w:rsidRPr="004C2F7E">
        <w:rPr>
          <w:vertAlign w:val="subscript"/>
        </w:rPr>
        <w:t xml:space="preserve">ACLR1/2 </w:t>
      </w:r>
      <w:r w:rsidRPr="004C2F7E">
        <w:t xml:space="preserve">requirements are </w:t>
      </w:r>
      <w:proofErr w:type="spellStart"/>
      <w:r w:rsidRPr="004C2F7E">
        <w:t>applicaple</w:t>
      </w:r>
      <w:proofErr w:type="spellEnd"/>
      <w:r w:rsidRPr="004C2F7E">
        <w:t xml:space="preserve"> for all sub-blocks and are specified in Table 6.6.2.3.2A-2. UTRA</w:t>
      </w:r>
      <w:r w:rsidRPr="004C2F7E">
        <w:rPr>
          <w:vertAlign w:val="subscript"/>
        </w:rPr>
        <w:t>ACLR1</w:t>
      </w:r>
      <w:r w:rsidRPr="004C2F7E">
        <w:t xml:space="preserve"> is required to be met in the sub-block gap when the gap bandwidth </w:t>
      </w:r>
      <w:proofErr w:type="spellStart"/>
      <w:r w:rsidRPr="004C2F7E">
        <w:t>Wgap</w:t>
      </w:r>
      <w:proofErr w:type="spellEnd"/>
      <w:r w:rsidRPr="004C2F7E">
        <w:t xml:space="preserve"> is 5MHz≤Wgap &lt;15MHz. Both UTRA</w:t>
      </w:r>
      <w:r w:rsidRPr="004C2F7E">
        <w:rPr>
          <w:vertAlign w:val="subscript"/>
        </w:rPr>
        <w:t>ACLR1</w:t>
      </w:r>
      <w:r w:rsidRPr="004C2F7E">
        <w:t xml:space="preserve"> and UTRA</w:t>
      </w:r>
      <w:r w:rsidRPr="004C2F7E">
        <w:rPr>
          <w:vertAlign w:val="subscript"/>
        </w:rPr>
        <w:t>ACLR2</w:t>
      </w:r>
      <w:r w:rsidRPr="004C2F7E">
        <w:t xml:space="preserve"> are required to be met in the sub-block gap when the gap bandwidth </w:t>
      </w:r>
      <w:proofErr w:type="spellStart"/>
      <w:r w:rsidRPr="004C2F7E">
        <w:t>Wgap</w:t>
      </w:r>
      <w:proofErr w:type="spellEnd"/>
      <w:r w:rsidRPr="004C2F7E">
        <w:t xml:space="preserve"> is 15MHz≤Wgap.</w:t>
      </w:r>
    </w:p>
    <w:p w:rsidR="00694EDB" w:rsidRPr="004C2F7E" w:rsidRDefault="00694EDB" w:rsidP="00694EDB">
      <w:r w:rsidRPr="004C2F7E">
        <w:t>For combinations of intra-band and inter-band carrier aggregation with</w:t>
      </w:r>
      <w:r w:rsidRPr="004C2F7E">
        <w:rPr>
          <w:rFonts w:hint="eastAsia"/>
          <w:lang w:eastAsia="zh-CN"/>
        </w:rPr>
        <w:t xml:space="preserve"> three</w:t>
      </w:r>
      <w:r w:rsidRPr="004C2F7E">
        <w:t xml:space="preserve"> </w:t>
      </w:r>
      <w:r w:rsidRPr="004C2F7E">
        <w:rPr>
          <w:rFonts w:hint="eastAsia"/>
          <w:lang w:eastAsia="zh-CN"/>
        </w:rPr>
        <w:t>up</w:t>
      </w:r>
      <w:r w:rsidRPr="004C2F7E">
        <w:t xml:space="preserve">link </w:t>
      </w:r>
      <w:r w:rsidRPr="004C2F7E">
        <w:rPr>
          <w:rFonts w:hint="eastAsia"/>
          <w:lang w:eastAsia="zh-CN"/>
        </w:rPr>
        <w:t xml:space="preserve">component </w:t>
      </w:r>
      <w:r w:rsidRPr="004C2F7E">
        <w:t>carriers (up to two contiguously aggregated carriers per band)</w:t>
      </w:r>
      <w:r w:rsidRPr="004C2F7E">
        <w:rPr>
          <w:rFonts w:hint="eastAsia"/>
          <w:lang w:eastAsia="zh-CN"/>
        </w:rPr>
        <w:t xml:space="preserve">, </w:t>
      </w:r>
      <w:r w:rsidRPr="004C2F7E">
        <w:rPr>
          <w:rFonts w:hint="eastAsia"/>
        </w:rPr>
        <w:t xml:space="preserve">the UTRA </w:t>
      </w:r>
      <w:r w:rsidRPr="004C2F7E">
        <w:t xml:space="preserve">Adjacent Channel Leakage </w:t>
      </w:r>
      <w:proofErr w:type="gramStart"/>
      <w:r w:rsidRPr="004C2F7E">
        <w:t>power</w:t>
      </w:r>
      <w:proofErr w:type="gramEnd"/>
      <w:r w:rsidRPr="004C2F7E">
        <w:t xml:space="preserve"> Ratio (UTRA</w:t>
      </w:r>
      <w:r w:rsidRPr="004C2F7E">
        <w:rPr>
          <w:vertAlign w:val="subscript"/>
        </w:rPr>
        <w:t>ACLR</w:t>
      </w:r>
      <w:r w:rsidRPr="004C2F7E">
        <w:t>) is</w:t>
      </w:r>
      <w:r w:rsidRPr="004C2F7E">
        <w:rPr>
          <w:rFonts w:cs="v5.0.0" w:hint="eastAsia"/>
          <w:lang w:eastAsia="zh-CN"/>
        </w:rPr>
        <w:t xml:space="preserve"> defined </w:t>
      </w:r>
      <w:r w:rsidRPr="004C2F7E">
        <w:rPr>
          <w:rFonts w:cs="v5.0.0"/>
          <w:lang w:eastAsia="zh-CN"/>
        </w:rPr>
        <w:t>as follows</w:t>
      </w:r>
      <w:r w:rsidRPr="004C2F7E">
        <w:rPr>
          <w:rFonts w:cs="v5.0.0" w:hint="eastAsia"/>
          <w:lang w:eastAsia="zh-CN"/>
        </w:rPr>
        <w:t xml:space="preserve">. For the E-UTRA band supporting one component carrier, </w:t>
      </w:r>
      <w:r w:rsidRPr="004C2F7E">
        <w:rPr>
          <w:rFonts w:hint="eastAsia"/>
        </w:rPr>
        <w:t xml:space="preserve">the UTRA </w:t>
      </w:r>
      <w:r w:rsidRPr="004C2F7E">
        <w:t xml:space="preserve">Adjacent Channel Leakage </w:t>
      </w:r>
      <w:proofErr w:type="gramStart"/>
      <w:r w:rsidRPr="004C2F7E">
        <w:t>power</w:t>
      </w:r>
      <w:proofErr w:type="gramEnd"/>
      <w:r w:rsidRPr="004C2F7E">
        <w:t xml:space="preserve"> Ratio (UTRA</w:t>
      </w:r>
      <w:r w:rsidRPr="004C2F7E">
        <w:rPr>
          <w:vertAlign w:val="subscript"/>
        </w:rPr>
        <w:t>ACLR</w:t>
      </w:r>
      <w:r w:rsidRPr="004C2F7E">
        <w:t xml:space="preserve">) is </w:t>
      </w:r>
      <w:r w:rsidRPr="004C2F7E">
        <w:rPr>
          <w:rFonts w:hint="eastAsia"/>
        </w:rPr>
        <w:t xml:space="preserve">the </w:t>
      </w:r>
      <w:r w:rsidRPr="004C2F7E">
        <w:t xml:space="preserve">ratio of the filtered mean power centred on the </w:t>
      </w:r>
      <w:r w:rsidRPr="004C2F7E">
        <w:rPr>
          <w:rFonts w:hint="eastAsia"/>
        </w:rPr>
        <w:t xml:space="preserve">assigned </w:t>
      </w:r>
      <w:r w:rsidRPr="004C2F7E">
        <w:t>channel bandwidth of the component carrier to the filtered mean power centred on an adjacent(s) UTRA channel frequency</w:t>
      </w:r>
      <w:r w:rsidRPr="004C2F7E">
        <w:rPr>
          <w:lang w:eastAsia="zh-CN"/>
        </w:rPr>
        <w:t xml:space="preserve"> </w:t>
      </w:r>
      <w:r w:rsidRPr="004C2F7E">
        <w:t xml:space="preserve">and the requirements specified in </w:t>
      </w:r>
      <w:proofErr w:type="spellStart"/>
      <w:r w:rsidRPr="004C2F7E">
        <w:t>subclause</w:t>
      </w:r>
      <w:proofErr w:type="spellEnd"/>
      <w:r w:rsidRPr="004C2F7E">
        <w:t xml:space="preserve"> 6.</w:t>
      </w:r>
      <w:r w:rsidRPr="004C2F7E">
        <w:rPr>
          <w:rFonts w:hint="eastAsia"/>
        </w:rPr>
        <w:t>6</w:t>
      </w:r>
      <w:r w:rsidRPr="004C2F7E">
        <w:t>.2.</w:t>
      </w:r>
      <w:r w:rsidRPr="004C2F7E">
        <w:rPr>
          <w:rFonts w:hint="eastAsia"/>
        </w:rPr>
        <w:t>3.2</w:t>
      </w:r>
      <w:r w:rsidRPr="004C2F7E">
        <w:t xml:space="preserve"> apply.</w:t>
      </w:r>
      <w:r w:rsidRPr="004C2F7E">
        <w:rPr>
          <w:rFonts w:hint="eastAsia"/>
          <w:lang w:eastAsia="zh-CN"/>
        </w:rPr>
        <w:t xml:space="preserve"> </w:t>
      </w:r>
      <w:r w:rsidRPr="004C2F7E">
        <w:rPr>
          <w:rFonts w:cs="v5.0.0" w:hint="eastAsia"/>
          <w:lang w:eastAsia="zh-CN"/>
        </w:rPr>
        <w:t>For the E-UTRA band supporting two contiguous component carriers</w:t>
      </w:r>
      <w:r w:rsidRPr="004C2F7E">
        <w:t xml:space="preserve"> the UTRA Adjacent Channel Leakage </w:t>
      </w:r>
      <w:proofErr w:type="gramStart"/>
      <w:r w:rsidRPr="004C2F7E">
        <w:t>power</w:t>
      </w:r>
      <w:proofErr w:type="gramEnd"/>
      <w:r w:rsidRPr="004C2F7E">
        <w:t xml:space="preserve"> Ratio (UTRA</w:t>
      </w:r>
      <w:r w:rsidRPr="004C2F7E">
        <w:rPr>
          <w:vertAlign w:val="subscript"/>
        </w:rPr>
        <w:t>ACLR</w:t>
      </w:r>
      <w:r w:rsidRPr="004C2F7E">
        <w:t>) is the ratio of the filtered mean power centred on the aggregated channel bandwidth to the filtered mean power centred on an adjacent(s) UTRA channel frequency</w:t>
      </w:r>
      <w:r w:rsidRPr="004C2F7E">
        <w:rPr>
          <w:rFonts w:hint="eastAsia"/>
          <w:lang w:eastAsia="zh-CN"/>
        </w:rPr>
        <w:t xml:space="preserve"> </w:t>
      </w:r>
      <w:r w:rsidRPr="004C2F7E">
        <w:rPr>
          <w:lang w:eastAsia="zh-CN"/>
        </w:rPr>
        <w:t>and</w:t>
      </w:r>
      <w:r w:rsidRPr="004C2F7E">
        <w:rPr>
          <w:rFonts w:hint="eastAsia"/>
          <w:lang w:eastAsia="zh-CN"/>
        </w:rPr>
        <w:t xml:space="preserve"> the </w:t>
      </w:r>
      <w:r w:rsidRPr="004C2F7E">
        <w:rPr>
          <w:lang w:eastAsia="zh-CN"/>
        </w:rPr>
        <w:t>requirements</w:t>
      </w:r>
      <w:r w:rsidRPr="004C2F7E">
        <w:rPr>
          <w:rFonts w:hint="eastAsia"/>
          <w:lang w:eastAsia="zh-CN"/>
        </w:rPr>
        <w:t xml:space="preserve"> specified in </w:t>
      </w:r>
      <w:proofErr w:type="spellStart"/>
      <w:r w:rsidRPr="004C2F7E">
        <w:rPr>
          <w:rFonts w:hint="eastAsia"/>
          <w:lang w:eastAsia="zh-CN"/>
        </w:rPr>
        <w:t>subclause</w:t>
      </w:r>
      <w:proofErr w:type="spellEnd"/>
      <w:r w:rsidRPr="004C2F7E">
        <w:rPr>
          <w:rFonts w:hint="eastAsia"/>
          <w:lang w:eastAsia="zh-CN"/>
        </w:rPr>
        <w:t xml:space="preserve"> 6.6.2.3.2A</w:t>
      </w:r>
      <w:r w:rsidRPr="004C2F7E">
        <w:rPr>
          <w:lang w:eastAsia="zh-CN"/>
        </w:rPr>
        <w:t xml:space="preserve"> apply</w:t>
      </w:r>
      <w:r w:rsidRPr="004C2F7E">
        <w:rPr>
          <w:rFonts w:hint="eastAsia"/>
          <w:lang w:eastAsia="zh-CN"/>
        </w:rPr>
        <w:t>.</w:t>
      </w:r>
    </w:p>
    <w:p w:rsidR="00694EDB" w:rsidRPr="004C2F7E" w:rsidRDefault="00694EDB" w:rsidP="00694EDB">
      <w:pPr>
        <w:rPr>
          <w:rFonts w:cs="v5.0.0"/>
        </w:rPr>
      </w:pPr>
      <w:r w:rsidRPr="004C2F7E">
        <w:t xml:space="preserve">UTRA Adjacent Channel Leakage </w:t>
      </w:r>
      <w:proofErr w:type="gramStart"/>
      <w:r w:rsidRPr="004C2F7E">
        <w:t>power</w:t>
      </w:r>
      <w:proofErr w:type="gramEnd"/>
      <w:r w:rsidRPr="004C2F7E">
        <w:t xml:space="preserve"> Ratio is specified for both the first UTRA adjacent channel (UTRA</w:t>
      </w:r>
      <w:r w:rsidRPr="004C2F7E">
        <w:rPr>
          <w:vertAlign w:val="subscript"/>
        </w:rPr>
        <w:t>ACLR1</w:t>
      </w:r>
      <w:r w:rsidRPr="004C2F7E">
        <w:t>) and the 2</w:t>
      </w:r>
      <w:r w:rsidRPr="004C2F7E">
        <w:rPr>
          <w:vertAlign w:val="superscript"/>
        </w:rPr>
        <w:t>nd</w:t>
      </w:r>
      <w:r w:rsidRPr="004C2F7E">
        <w:t xml:space="preserve"> UTRA adjacent channel (UTRA</w:t>
      </w:r>
      <w:r w:rsidRPr="004C2F7E">
        <w:rPr>
          <w:vertAlign w:val="subscript"/>
        </w:rPr>
        <w:t>ACLR2</w:t>
      </w:r>
      <w:r w:rsidRPr="004C2F7E">
        <w:t xml:space="preserve">). The UTRA channel power is measured with a RRC bandwidth filter with roll-off factor </w:t>
      </w:r>
      <w:r w:rsidRPr="004C2F7E">
        <w:rPr>
          <w:rFonts w:ascii="Symbol" w:hAnsi="Symbol"/>
        </w:rPr>
        <w:t></w:t>
      </w:r>
      <w:r w:rsidRPr="004C2F7E">
        <w:rPr>
          <w:rFonts w:ascii="Symbol" w:hAnsi="Symbol"/>
        </w:rPr>
        <w:t></w:t>
      </w:r>
      <w:r w:rsidRPr="004C2F7E">
        <w:t xml:space="preserve">=0.22. The assigned aggregated channel bandwidth power is measured with a rectangular filter with measurement bandwidth specified in </w:t>
      </w:r>
      <w:r w:rsidRPr="004C2F7E">
        <w:rPr>
          <w:rFonts w:cs="v5.0.0"/>
        </w:rPr>
        <w:t xml:space="preserve">Table 6.6.2.3.2A-1 for </w:t>
      </w:r>
      <w:proofErr w:type="spellStart"/>
      <w:r w:rsidRPr="004C2F7E">
        <w:rPr>
          <w:rFonts w:cs="v5.0.0"/>
        </w:rPr>
        <w:t>intraband</w:t>
      </w:r>
      <w:proofErr w:type="spellEnd"/>
      <w:r w:rsidRPr="004C2F7E">
        <w:rPr>
          <w:rFonts w:cs="v5.0.0"/>
        </w:rPr>
        <w:t xml:space="preserve"> contiguous carrier aggregation or 6.6.2.3.2A-2 for </w:t>
      </w:r>
      <w:proofErr w:type="spellStart"/>
      <w:r w:rsidRPr="004C2F7E">
        <w:rPr>
          <w:rFonts w:cs="v5.0.0"/>
        </w:rPr>
        <w:t>intraband</w:t>
      </w:r>
      <w:proofErr w:type="spellEnd"/>
      <w:r w:rsidRPr="004C2F7E">
        <w:rPr>
          <w:rFonts w:cs="v5.0.0"/>
        </w:rPr>
        <w:t xml:space="preserve"> non-contiguous carrier aggregation</w:t>
      </w:r>
      <w:r w:rsidRPr="004C2F7E">
        <w:t xml:space="preserve">. </w:t>
      </w:r>
      <w:r w:rsidRPr="004C2F7E">
        <w:rPr>
          <w:rFonts w:cs="v5.0.0"/>
        </w:rPr>
        <w:t xml:space="preserve">If the measured UTRA channel power is greater than –50dBm then the </w:t>
      </w:r>
      <w:r w:rsidRPr="004C2F7E">
        <w:t>UTRA</w:t>
      </w:r>
      <w:r w:rsidRPr="004C2F7E">
        <w:rPr>
          <w:vertAlign w:val="subscript"/>
        </w:rPr>
        <w:t>ACLR</w:t>
      </w:r>
      <w:r w:rsidRPr="004C2F7E">
        <w:rPr>
          <w:rFonts w:cs="v5.0.0"/>
        </w:rPr>
        <w:t xml:space="preserve"> shall be higher than the value specified in Table 6.6.2.3.2A-1 for </w:t>
      </w:r>
      <w:proofErr w:type="spellStart"/>
      <w:r w:rsidRPr="004C2F7E">
        <w:rPr>
          <w:rFonts w:cs="v5.0.0"/>
        </w:rPr>
        <w:t>intraband</w:t>
      </w:r>
      <w:proofErr w:type="spellEnd"/>
      <w:r w:rsidRPr="004C2F7E">
        <w:rPr>
          <w:rFonts w:cs="v5.0.0"/>
        </w:rPr>
        <w:t xml:space="preserve"> contiguous carrier aggregation or </w:t>
      </w:r>
      <w:r w:rsidRPr="004C2F7E">
        <w:t xml:space="preserve">6.6.2.3.2A-2 for </w:t>
      </w:r>
      <w:proofErr w:type="spellStart"/>
      <w:r w:rsidRPr="004C2F7E">
        <w:t>intraband</w:t>
      </w:r>
      <w:proofErr w:type="spellEnd"/>
      <w:r w:rsidRPr="004C2F7E">
        <w:t xml:space="preserve"> non-contiguous carrier aggregation</w:t>
      </w:r>
      <w:r w:rsidRPr="004C2F7E">
        <w:rPr>
          <w:rFonts w:cs="v5.0.0"/>
        </w:rPr>
        <w:t>.</w:t>
      </w:r>
    </w:p>
    <w:p w:rsidR="007D75BA" w:rsidRPr="004C2F7E" w:rsidRDefault="005856DE" w:rsidP="006D3BD7">
      <w:ins w:id="4" w:author="Laurent Noel" w:date="2019-02-28T03:18:00Z">
        <w:r w:rsidRPr="005856DE">
          <w:rPr>
            <w:noProof/>
            <w:lang w:eastAsia="zh-CN"/>
          </w:rPr>
          <w:t>For carrier aggregation with one or two uplink component carriers, the UTRA</w:t>
        </w:r>
        <w:r w:rsidRPr="005856DE">
          <w:rPr>
            <w:noProof/>
            <w:vertAlign w:val="subscript"/>
            <w:lang w:eastAsia="zh-CN"/>
          </w:rPr>
          <w:t>ACLR</w:t>
        </w:r>
        <w:r w:rsidRPr="005856DE">
          <w:rPr>
            <w:noProof/>
            <w:lang w:eastAsia="zh-CN"/>
          </w:rPr>
          <w:t xml:space="preserve"> requirements for the PC3 UE are not applicable to the uplink component carrier(s) assigned to one of the E-UTRA band in Band 7, 12, 13, 17, 20, 24, 27, 30, 33, 35, 36, 37, 38, 40, 43, 44, 45, 46, 47, 48, 4</w:t>
        </w:r>
        <w:r>
          <w:rPr>
            <w:noProof/>
            <w:lang w:eastAsia="zh-CN"/>
          </w:rPr>
          <w:t>9, 50, 51, 52, 68, 70, 71 or 85</w:t>
        </w:r>
        <w:r w:rsidRPr="005856DE">
          <w:rPr>
            <w:noProof/>
            <w:lang w:eastAsia="zh-CN"/>
          </w:rPr>
          <w:t>.</w:t>
        </w:r>
      </w:ins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D82" w:rsidRDefault="00970D82">
      <w:r>
        <w:separator/>
      </w:r>
    </w:p>
  </w:endnote>
  <w:endnote w:type="continuationSeparator" w:id="0">
    <w:p w:rsidR="00970D82" w:rsidRDefault="00970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D82" w:rsidRDefault="00970D82">
      <w:r>
        <w:separator/>
      </w:r>
    </w:p>
  </w:footnote>
  <w:footnote w:type="continuationSeparator" w:id="0">
    <w:p w:rsidR="00970D82" w:rsidRDefault="00970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745" w:rsidRDefault="0032074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DC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49A7"/>
    <w:rsid w:val="0026004D"/>
    <w:rsid w:val="002640DD"/>
    <w:rsid w:val="00275D12"/>
    <w:rsid w:val="00284FEB"/>
    <w:rsid w:val="002860C4"/>
    <w:rsid w:val="002A42CE"/>
    <w:rsid w:val="002B5741"/>
    <w:rsid w:val="00305409"/>
    <w:rsid w:val="0032074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56DE"/>
    <w:rsid w:val="00592D74"/>
    <w:rsid w:val="005A6764"/>
    <w:rsid w:val="005C339E"/>
    <w:rsid w:val="005E2C44"/>
    <w:rsid w:val="00604A13"/>
    <w:rsid w:val="00612F14"/>
    <w:rsid w:val="00621188"/>
    <w:rsid w:val="00623323"/>
    <w:rsid w:val="006257ED"/>
    <w:rsid w:val="00694EDB"/>
    <w:rsid w:val="00695808"/>
    <w:rsid w:val="006B46FB"/>
    <w:rsid w:val="006D3BD7"/>
    <w:rsid w:val="006E21FB"/>
    <w:rsid w:val="00703772"/>
    <w:rsid w:val="00783FE3"/>
    <w:rsid w:val="00792342"/>
    <w:rsid w:val="007977A8"/>
    <w:rsid w:val="007B512A"/>
    <w:rsid w:val="007C2097"/>
    <w:rsid w:val="007D6A07"/>
    <w:rsid w:val="007D75BA"/>
    <w:rsid w:val="007F7259"/>
    <w:rsid w:val="008040A8"/>
    <w:rsid w:val="008279FA"/>
    <w:rsid w:val="008371DE"/>
    <w:rsid w:val="008626E7"/>
    <w:rsid w:val="00870EE7"/>
    <w:rsid w:val="008A45A6"/>
    <w:rsid w:val="008B6CDB"/>
    <w:rsid w:val="008E46C5"/>
    <w:rsid w:val="008F686C"/>
    <w:rsid w:val="009148DE"/>
    <w:rsid w:val="009210CF"/>
    <w:rsid w:val="00970D8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AFE"/>
    <w:rsid w:val="00B258BB"/>
    <w:rsid w:val="00B67B97"/>
    <w:rsid w:val="00B968C8"/>
    <w:rsid w:val="00BA3EC5"/>
    <w:rsid w:val="00BA51D9"/>
    <w:rsid w:val="00BB5DFC"/>
    <w:rsid w:val="00BD279D"/>
    <w:rsid w:val="00BD6BB8"/>
    <w:rsid w:val="00C61DB3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96D0F"/>
    <w:rsid w:val="00EB09B7"/>
    <w:rsid w:val="00EE7D7C"/>
    <w:rsid w:val="00F25D98"/>
    <w:rsid w:val="00F300FB"/>
    <w:rsid w:val="00F378F9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0C949F-649A-4BBF-861A-2FF11FA0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2AEC3-39D2-44AA-B357-1E7B5CF25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888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Skyworks inc.</dc:creator>
  <cp:keywords/>
  <cp:lastModifiedBy>Laurent Noel</cp:lastModifiedBy>
  <cp:revision>2</cp:revision>
  <cp:lastPrinted>1900-01-01T05:00:00Z</cp:lastPrinted>
  <dcterms:created xsi:type="dcterms:W3CDTF">2019-02-28T08:53:00Z</dcterms:created>
  <dcterms:modified xsi:type="dcterms:W3CDTF">2019-02-28T08:53:00Z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